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183C" w14:textId="4C91A0DE" w:rsidR="00941580" w:rsidRPr="00B51F2D" w:rsidRDefault="00B51F2D">
      <w:pPr>
        <w:rPr>
          <w:b/>
          <w:szCs w:val="20"/>
          <w:lang w:val="en-US"/>
        </w:rPr>
      </w:pPr>
      <w:r w:rsidRPr="00B51F2D">
        <w:rPr>
          <w:b/>
          <w:szCs w:val="20"/>
          <w:lang w:val="en-US"/>
        </w:rPr>
        <w:t>Position</w:t>
      </w:r>
      <w:r w:rsidR="00941580" w:rsidRPr="00B51F2D">
        <w:rPr>
          <w:b/>
          <w:szCs w:val="20"/>
          <w:lang w:val="en-US"/>
        </w:rPr>
        <w:t xml:space="preserve">: </w:t>
      </w:r>
      <w:r w:rsidRPr="00B51F2D">
        <w:rPr>
          <w:b/>
          <w:szCs w:val="20"/>
          <w:lang w:val="en-US"/>
        </w:rPr>
        <w:t>Post-doc</w:t>
      </w:r>
      <w:r w:rsidR="00941580" w:rsidRPr="00B51F2D">
        <w:rPr>
          <w:b/>
          <w:szCs w:val="20"/>
          <w:lang w:val="en-US"/>
        </w:rPr>
        <w:t xml:space="preserve"> </w:t>
      </w:r>
      <w:r w:rsidR="003133E3" w:rsidRPr="00B51F2D">
        <w:rPr>
          <w:b/>
          <w:szCs w:val="20"/>
          <w:lang w:val="en-US"/>
        </w:rPr>
        <w:t>(NanoREG2</w:t>
      </w:r>
      <w:r w:rsidRPr="00B51F2D">
        <w:rPr>
          <w:b/>
          <w:szCs w:val="20"/>
          <w:lang w:val="en-US"/>
        </w:rPr>
        <w:t xml:space="preserve"> pro</w:t>
      </w:r>
      <w:r>
        <w:rPr>
          <w:b/>
          <w:szCs w:val="20"/>
          <w:lang w:val="en-US"/>
        </w:rPr>
        <w:t>ject</w:t>
      </w:r>
      <w:r w:rsidR="003133E3" w:rsidRPr="00B51F2D">
        <w:rPr>
          <w:b/>
          <w:szCs w:val="20"/>
          <w:lang w:val="en-US"/>
        </w:rPr>
        <w:t>)</w:t>
      </w:r>
    </w:p>
    <w:p w14:paraId="7E568092" w14:textId="77777777" w:rsidR="00941580" w:rsidRPr="00B51F2D" w:rsidRDefault="00941580">
      <w:pPr>
        <w:rPr>
          <w:sz w:val="20"/>
          <w:szCs w:val="20"/>
          <w:lang w:val="en-US"/>
        </w:rPr>
      </w:pPr>
    </w:p>
    <w:p w14:paraId="5025CBFB" w14:textId="16AA4F74" w:rsidR="00BB242A" w:rsidRDefault="00BB242A">
      <w:pPr>
        <w:rPr>
          <w:b/>
          <w:sz w:val="20"/>
          <w:szCs w:val="20"/>
          <w:u w:val="single"/>
          <w:lang w:val="en-US"/>
        </w:rPr>
      </w:pPr>
      <w:r w:rsidRPr="00BB242A">
        <w:rPr>
          <w:b/>
          <w:sz w:val="20"/>
          <w:szCs w:val="20"/>
          <w:u w:val="single"/>
          <w:lang w:val="en-US"/>
        </w:rPr>
        <w:t>Institution</w:t>
      </w:r>
    </w:p>
    <w:p w14:paraId="7E6BC3FE" w14:textId="77777777" w:rsidR="001129B0" w:rsidRPr="00BB242A" w:rsidRDefault="001129B0">
      <w:pPr>
        <w:rPr>
          <w:b/>
          <w:sz w:val="20"/>
          <w:szCs w:val="20"/>
          <w:u w:val="single"/>
          <w:lang w:val="en-US"/>
        </w:rPr>
      </w:pPr>
    </w:p>
    <w:p w14:paraId="152DB79D" w14:textId="70456446" w:rsidR="00BB242A" w:rsidRDefault="00BB24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University of Gdan</w:t>
      </w:r>
      <w:r w:rsidRPr="00BB242A">
        <w:rPr>
          <w:sz w:val="20"/>
          <w:szCs w:val="20"/>
          <w:lang w:val="en-US"/>
        </w:rPr>
        <w:t>sk</w:t>
      </w:r>
      <w:r>
        <w:rPr>
          <w:sz w:val="20"/>
          <w:szCs w:val="20"/>
          <w:lang w:val="en-US"/>
        </w:rPr>
        <w:t>, Laboratory of Environmental Chemometrics at the Faculty of Chemistry</w:t>
      </w:r>
      <w:r w:rsidRPr="00BB242A">
        <w:rPr>
          <w:sz w:val="20"/>
          <w:szCs w:val="20"/>
          <w:lang w:val="en-US"/>
        </w:rPr>
        <w:t xml:space="preserve"> </w:t>
      </w:r>
      <w:r w:rsidR="00881759">
        <w:rPr>
          <w:sz w:val="20"/>
          <w:szCs w:val="20"/>
          <w:lang w:val="en-US"/>
        </w:rPr>
        <w:t>(Gdansk, Poland)</w:t>
      </w:r>
      <w:bookmarkStart w:id="0" w:name="_GoBack"/>
      <w:bookmarkEnd w:id="0"/>
    </w:p>
    <w:p w14:paraId="31E8E479" w14:textId="77286D13" w:rsidR="00BB242A" w:rsidRDefault="00CC3BE5">
      <w:pPr>
        <w:rPr>
          <w:sz w:val="20"/>
          <w:szCs w:val="20"/>
          <w:lang w:val="en-US"/>
        </w:rPr>
      </w:pPr>
      <w:hyperlink r:id="rId7" w:history="1">
        <w:r w:rsidR="00BB242A" w:rsidRPr="00D82370">
          <w:rPr>
            <w:rStyle w:val="Hipercze"/>
            <w:sz w:val="20"/>
            <w:szCs w:val="20"/>
            <w:lang w:val="en-US"/>
          </w:rPr>
          <w:t>http://en.chemia.ug.edu.pl/faculty/about_us</w:t>
        </w:r>
      </w:hyperlink>
    </w:p>
    <w:p w14:paraId="48458B3A" w14:textId="1D1E4C08" w:rsidR="00BB242A" w:rsidRDefault="00BB242A">
      <w:pPr>
        <w:rPr>
          <w:sz w:val="20"/>
          <w:szCs w:val="20"/>
          <w:lang w:val="en-US"/>
        </w:rPr>
      </w:pPr>
    </w:p>
    <w:p w14:paraId="44D7677F" w14:textId="102B4236" w:rsidR="00BB242A" w:rsidRDefault="00BB24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University of Gdan</w:t>
      </w:r>
      <w:r w:rsidRPr="00BB242A">
        <w:rPr>
          <w:sz w:val="20"/>
          <w:szCs w:val="20"/>
          <w:lang w:val="en-US"/>
        </w:rPr>
        <w:t>sk is the largest educational institution in the Pomerania region</w:t>
      </w:r>
      <w:r>
        <w:rPr>
          <w:sz w:val="20"/>
          <w:szCs w:val="20"/>
          <w:lang w:val="en-US"/>
        </w:rPr>
        <w:t xml:space="preserve"> (Nothern Poland)</w:t>
      </w:r>
      <w:r w:rsidRPr="00BB242A">
        <w:rPr>
          <w:sz w:val="20"/>
          <w:szCs w:val="20"/>
          <w:lang w:val="en-US"/>
        </w:rPr>
        <w:t xml:space="preserve">. We have eleven faculties with over thirty thousand students, doctoral students and post-graduates, who are taught by one thousand seven hundred academic staff. </w:t>
      </w:r>
    </w:p>
    <w:p w14:paraId="2CB63268" w14:textId="77777777" w:rsidR="00BB242A" w:rsidRDefault="00BB242A">
      <w:pPr>
        <w:rPr>
          <w:sz w:val="20"/>
          <w:szCs w:val="20"/>
          <w:lang w:val="en-US"/>
        </w:rPr>
      </w:pPr>
    </w:p>
    <w:p w14:paraId="64B88ADC" w14:textId="562F3EDE" w:rsidR="00BB242A" w:rsidRDefault="00BB24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Laboratory of Environmental Chemometrics </w:t>
      </w:r>
      <w:r w:rsidRPr="00BB242A">
        <w:rPr>
          <w:sz w:val="20"/>
          <w:szCs w:val="20"/>
          <w:lang w:val="en-US"/>
        </w:rPr>
        <w:t xml:space="preserve">has been involved in the pioneering </w:t>
      </w:r>
      <w:r>
        <w:rPr>
          <w:sz w:val="20"/>
          <w:szCs w:val="20"/>
          <w:lang w:val="en-US"/>
        </w:rPr>
        <w:t>projects</w:t>
      </w:r>
      <w:r w:rsidRPr="00BB242A">
        <w:rPr>
          <w:sz w:val="20"/>
          <w:szCs w:val="20"/>
          <w:lang w:val="en-US"/>
        </w:rPr>
        <w:t xml:space="preserve"> on ecotoxicological risk assessment of many environmentally relevant substances as polyhalogenated Persistent Organic Pollutants, ionic liquids, antibiotics and nanoparticles</w:t>
      </w:r>
      <w:r>
        <w:rPr>
          <w:sz w:val="20"/>
          <w:szCs w:val="20"/>
          <w:lang w:val="en-US"/>
        </w:rPr>
        <w:t xml:space="preserve"> with use of computational techniques (FP7: NanoBRIDGES, NanoPUZZELS; H2020: NanoReg2)</w:t>
      </w:r>
      <w:r w:rsidRPr="00BB242A">
        <w:rPr>
          <w:sz w:val="20"/>
          <w:szCs w:val="20"/>
          <w:lang w:val="en-US"/>
        </w:rPr>
        <w:t xml:space="preserve">. This includes </w:t>
      </w:r>
      <w:r>
        <w:rPr>
          <w:sz w:val="20"/>
          <w:szCs w:val="20"/>
          <w:lang w:val="en-US"/>
        </w:rPr>
        <w:t xml:space="preserve">modeling </w:t>
      </w:r>
      <w:r w:rsidRPr="00BB242A">
        <w:rPr>
          <w:sz w:val="20"/>
          <w:szCs w:val="20"/>
          <w:lang w:val="en-US"/>
        </w:rPr>
        <w:t xml:space="preserve">toxicity </w:t>
      </w:r>
      <w:r>
        <w:rPr>
          <w:sz w:val="20"/>
          <w:szCs w:val="20"/>
          <w:lang w:val="en-US"/>
        </w:rPr>
        <w:t xml:space="preserve">and </w:t>
      </w:r>
      <w:r w:rsidRPr="00BB242A">
        <w:rPr>
          <w:sz w:val="20"/>
          <w:szCs w:val="20"/>
          <w:lang w:val="en-US"/>
        </w:rPr>
        <w:t xml:space="preserve">fate in the environment </w:t>
      </w:r>
      <w:r>
        <w:rPr>
          <w:sz w:val="20"/>
          <w:szCs w:val="20"/>
          <w:lang w:val="en-US"/>
        </w:rPr>
        <w:t>based on QSAR/QSPR approach</w:t>
      </w:r>
      <w:r w:rsidRPr="00BB242A">
        <w:rPr>
          <w:sz w:val="20"/>
          <w:szCs w:val="20"/>
          <w:lang w:val="en-US"/>
        </w:rPr>
        <w:t>.</w:t>
      </w:r>
    </w:p>
    <w:p w14:paraId="70008673" w14:textId="03C3F8C5" w:rsidR="00BB242A" w:rsidRDefault="00CC3BE5">
      <w:pPr>
        <w:rPr>
          <w:sz w:val="20"/>
          <w:szCs w:val="20"/>
          <w:lang w:val="en-US"/>
        </w:rPr>
      </w:pPr>
      <w:hyperlink r:id="rId8" w:history="1">
        <w:r w:rsidR="00BB242A" w:rsidRPr="00D82370">
          <w:rPr>
            <w:rStyle w:val="Hipercze"/>
            <w:sz w:val="20"/>
            <w:szCs w:val="20"/>
            <w:lang w:val="en-US"/>
          </w:rPr>
          <w:t>http://qsar.eu.org</w:t>
        </w:r>
      </w:hyperlink>
    </w:p>
    <w:p w14:paraId="62CB7232" w14:textId="77777777" w:rsidR="00BB242A" w:rsidRPr="00BB242A" w:rsidRDefault="00BB242A">
      <w:pPr>
        <w:rPr>
          <w:sz w:val="20"/>
          <w:szCs w:val="20"/>
          <w:lang w:val="en-US"/>
        </w:rPr>
      </w:pPr>
    </w:p>
    <w:p w14:paraId="550F3E57" w14:textId="77777777" w:rsidR="00BB242A" w:rsidRDefault="00BB242A">
      <w:pPr>
        <w:rPr>
          <w:b/>
          <w:sz w:val="20"/>
          <w:szCs w:val="20"/>
          <w:u w:val="single"/>
          <w:lang w:val="en-US"/>
        </w:rPr>
      </w:pPr>
    </w:p>
    <w:p w14:paraId="578F6BE1" w14:textId="5BD15712" w:rsidR="00941580" w:rsidRPr="00B51F2D" w:rsidRDefault="00B51F2D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Description of work</w:t>
      </w:r>
    </w:p>
    <w:p w14:paraId="342A86E8" w14:textId="77777777" w:rsidR="00941580" w:rsidRPr="00B51F2D" w:rsidRDefault="00941580">
      <w:pPr>
        <w:rPr>
          <w:sz w:val="20"/>
          <w:szCs w:val="20"/>
          <w:lang w:val="en-US"/>
        </w:rPr>
      </w:pPr>
    </w:p>
    <w:p w14:paraId="5E8648E6" w14:textId="0D0AAA9E" w:rsidR="00941580" w:rsidRPr="00B51F2D" w:rsidRDefault="00B51F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post-doc will be involved in research tasks under the project </w:t>
      </w:r>
      <w:r w:rsidR="00941580" w:rsidRPr="00B51F2D">
        <w:rPr>
          <w:sz w:val="20"/>
          <w:szCs w:val="20"/>
          <w:lang w:val="en-US"/>
        </w:rPr>
        <w:t>„Development and implementation of grouping and safe-by-design approaches within regulatory frameworks</w:t>
      </w:r>
      <w:r w:rsidR="003133E3" w:rsidRPr="00B51F2D">
        <w:rPr>
          <w:sz w:val="20"/>
          <w:szCs w:val="20"/>
          <w:lang w:val="en-US"/>
        </w:rPr>
        <w:t xml:space="preserve"> (NanoREG</w:t>
      </w:r>
      <w:r w:rsidR="00941580" w:rsidRPr="00B51F2D">
        <w:rPr>
          <w:sz w:val="20"/>
          <w:szCs w:val="20"/>
          <w:lang w:val="en-US"/>
        </w:rPr>
        <w:t xml:space="preserve">2)” </w:t>
      </w:r>
      <w:r>
        <w:rPr>
          <w:sz w:val="20"/>
          <w:szCs w:val="20"/>
          <w:lang w:val="en-US"/>
        </w:rPr>
        <w:t>financed by</w:t>
      </w:r>
      <w:r w:rsidR="00941580" w:rsidRPr="00B51F2D">
        <w:rPr>
          <w:sz w:val="20"/>
          <w:szCs w:val="20"/>
          <w:lang w:val="en-US"/>
        </w:rPr>
        <w:t xml:space="preserve"> EU </w:t>
      </w:r>
      <w:r>
        <w:rPr>
          <w:sz w:val="20"/>
          <w:szCs w:val="20"/>
          <w:lang w:val="en-US"/>
        </w:rPr>
        <w:t xml:space="preserve">FP </w:t>
      </w:r>
      <w:r w:rsidR="00941580" w:rsidRPr="00B51F2D">
        <w:rPr>
          <w:sz w:val="20"/>
          <w:szCs w:val="20"/>
          <w:lang w:val="en-US"/>
        </w:rPr>
        <w:t>HORYZONT 2020</w:t>
      </w:r>
      <w:r w:rsidR="00AC3EE7" w:rsidRPr="00B51F2D">
        <w:rPr>
          <w:sz w:val="20"/>
          <w:szCs w:val="20"/>
          <w:lang w:val="en-US"/>
        </w:rPr>
        <w:t xml:space="preserve"> (</w:t>
      </w:r>
      <w:hyperlink r:id="rId9" w:history="1">
        <w:r w:rsidR="00AC3EE7" w:rsidRPr="00B51F2D">
          <w:rPr>
            <w:rStyle w:val="Hipercze"/>
            <w:sz w:val="20"/>
            <w:szCs w:val="20"/>
            <w:lang w:val="en-US"/>
          </w:rPr>
          <w:t>http://www.nanoreg2.eu)</w:t>
        </w:r>
      </w:hyperlink>
      <w:r w:rsidR="00941580" w:rsidRPr="00B51F2D">
        <w:rPr>
          <w:sz w:val="20"/>
          <w:szCs w:val="20"/>
          <w:lang w:val="en-US"/>
        </w:rPr>
        <w:t>.</w:t>
      </w:r>
    </w:p>
    <w:p w14:paraId="0F97DDD4" w14:textId="77777777" w:rsidR="00BB242A" w:rsidRDefault="00BB242A">
      <w:pPr>
        <w:rPr>
          <w:b/>
          <w:sz w:val="20"/>
          <w:szCs w:val="20"/>
          <w:u w:val="single"/>
          <w:lang w:val="en-US"/>
        </w:rPr>
      </w:pPr>
    </w:p>
    <w:p w14:paraId="13C66AEB" w14:textId="52192AF1" w:rsidR="00941580" w:rsidRPr="00B51F2D" w:rsidRDefault="00B51F2D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Expectations</w:t>
      </w:r>
    </w:p>
    <w:p w14:paraId="3E00777D" w14:textId="77777777" w:rsidR="00941580" w:rsidRPr="00B51F2D" w:rsidRDefault="00941580">
      <w:pPr>
        <w:rPr>
          <w:sz w:val="20"/>
          <w:szCs w:val="20"/>
          <w:lang w:val="en-US"/>
        </w:rPr>
      </w:pPr>
    </w:p>
    <w:p w14:paraId="32F4C024" w14:textId="21642F80" w:rsidR="00941580" w:rsidRP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PhD in chemistry, physics, biology, materials science or life science</w:t>
      </w:r>
      <w:r w:rsidR="00267FC0" w:rsidRPr="00B51F2D">
        <w:rPr>
          <w:sz w:val="20"/>
          <w:szCs w:val="20"/>
          <w:lang w:val="en-US"/>
        </w:rPr>
        <w:t>.</w:t>
      </w:r>
    </w:p>
    <w:p w14:paraId="1B7F1772" w14:textId="1B0215CE" w:rsid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Knowledge on state-of-the-art in the area of nanosafety research including experimental methods for risk assessment (especially toxicity testing and nanomaterials characterization).</w:t>
      </w:r>
    </w:p>
    <w:p w14:paraId="3A0B4C1D" w14:textId="1B3CD080" w:rsid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Experience in performing research proved by published high quality research papers.</w:t>
      </w:r>
    </w:p>
    <w:p w14:paraId="07176F48" w14:textId="2914DA26" w:rsid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High level skills in scientific writing.</w:t>
      </w:r>
    </w:p>
    <w:p w14:paraId="2001B81A" w14:textId="7D007E2E" w:rsid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Analytical thinking.</w:t>
      </w:r>
    </w:p>
    <w:p w14:paraId="16F5A885" w14:textId="1121419B" w:rsid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Skills and motivation for fast learning of new methods, including the development of new predictive models for risk assessment of engineered nanoparticles. </w:t>
      </w:r>
    </w:p>
    <w:p w14:paraId="5E883293" w14:textId="41A8DFA5" w:rsidR="00AC3EE7" w:rsidRP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Strong motivation to develop personal research carrier</w:t>
      </w:r>
      <w:r w:rsidR="00AC3EE7" w:rsidRPr="00B51F2D">
        <w:rPr>
          <w:sz w:val="20"/>
          <w:szCs w:val="20"/>
          <w:lang w:val="en-US"/>
        </w:rPr>
        <w:t>.</w:t>
      </w:r>
    </w:p>
    <w:p w14:paraId="4C1AA2C6" w14:textId="17FC9A33" w:rsidR="00AC3EE7" w:rsidRP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Self-reliance and creativity</w:t>
      </w:r>
      <w:r w:rsidR="00267FC0" w:rsidRPr="00B51F2D">
        <w:rPr>
          <w:sz w:val="20"/>
          <w:szCs w:val="20"/>
          <w:lang w:val="en-US"/>
        </w:rPr>
        <w:t>.</w:t>
      </w:r>
    </w:p>
    <w:p w14:paraId="1BF0D269" w14:textId="4D089470" w:rsidR="00AC3EE7" w:rsidRPr="00B51F2D" w:rsidRDefault="00B51F2D" w:rsidP="00267FC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Organizational skills</w:t>
      </w:r>
      <w:r w:rsidR="00AC3EE7" w:rsidRPr="00B51F2D">
        <w:rPr>
          <w:sz w:val="20"/>
          <w:szCs w:val="20"/>
          <w:lang w:val="en-US"/>
        </w:rPr>
        <w:t>.</w:t>
      </w:r>
    </w:p>
    <w:p w14:paraId="04C6BC4C" w14:textId="77777777" w:rsidR="00AC3EE7" w:rsidRPr="00B51F2D" w:rsidRDefault="00AC3EE7" w:rsidP="00AC3EE7">
      <w:pPr>
        <w:rPr>
          <w:sz w:val="20"/>
          <w:szCs w:val="20"/>
          <w:lang w:val="en-US"/>
        </w:rPr>
      </w:pPr>
    </w:p>
    <w:p w14:paraId="500B3BAC" w14:textId="32BDF50D" w:rsidR="00AC3EE7" w:rsidRPr="00B51F2D" w:rsidRDefault="00B51F2D" w:rsidP="00AC3EE7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Contract conditions</w:t>
      </w:r>
    </w:p>
    <w:p w14:paraId="59FD2101" w14:textId="77777777" w:rsidR="00AC3EE7" w:rsidRPr="00B51F2D" w:rsidRDefault="00AC3EE7" w:rsidP="00AC3EE7">
      <w:pPr>
        <w:rPr>
          <w:sz w:val="20"/>
          <w:szCs w:val="20"/>
          <w:lang w:val="en-US"/>
        </w:rPr>
      </w:pPr>
    </w:p>
    <w:p w14:paraId="3C945B75" w14:textId="6A89F33F" w:rsidR="00AC3EE7" w:rsidRPr="00B51F2D" w:rsidRDefault="00B51F2D" w:rsidP="00AC3EE7">
      <w:pPr>
        <w:pStyle w:val="Akapitzlis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Type of contract</w:t>
      </w:r>
      <w:r w:rsidR="00AC3EE7" w:rsidRPr="00B51F2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Regular contract for limited time</w:t>
      </w:r>
    </w:p>
    <w:p w14:paraId="0C9B4A34" w14:textId="15D01AD1" w:rsidR="00AC3EE7" w:rsidRPr="00B51F2D" w:rsidRDefault="00B51F2D" w:rsidP="00AC3EE7">
      <w:pPr>
        <w:pStyle w:val="Akapitzlis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Duration</w:t>
      </w:r>
      <w:r w:rsidR="00AC3EE7" w:rsidRPr="00B51F2D">
        <w:rPr>
          <w:sz w:val="20"/>
          <w:szCs w:val="20"/>
          <w:lang w:val="en-US"/>
        </w:rPr>
        <w:t xml:space="preserve">: 12 </w:t>
      </w:r>
      <w:r>
        <w:rPr>
          <w:sz w:val="20"/>
          <w:szCs w:val="20"/>
          <w:lang w:val="en-US"/>
        </w:rPr>
        <w:t xml:space="preserve">months with possibility of </w:t>
      </w:r>
      <w:r w:rsidR="00831C7A">
        <w:rPr>
          <w:sz w:val="20"/>
          <w:szCs w:val="20"/>
          <w:lang w:val="en-US"/>
        </w:rPr>
        <w:t>extension</w:t>
      </w:r>
      <w:r>
        <w:rPr>
          <w:sz w:val="20"/>
          <w:szCs w:val="20"/>
          <w:lang w:val="en-US"/>
        </w:rPr>
        <w:t xml:space="preserve"> (up to 23 months in total)</w:t>
      </w:r>
    </w:p>
    <w:p w14:paraId="3E5F815B" w14:textId="7ABE0E3B" w:rsidR="00AC3EE7" w:rsidRPr="00B51F2D" w:rsidRDefault="00B51F2D" w:rsidP="00AC3EE7">
      <w:pPr>
        <w:pStyle w:val="Akapitzlis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Starting date</w:t>
      </w:r>
      <w:r w:rsidR="00AC3EE7" w:rsidRPr="00B51F2D">
        <w:rPr>
          <w:sz w:val="20"/>
          <w:szCs w:val="20"/>
          <w:lang w:val="en-US"/>
        </w:rPr>
        <w:t xml:space="preserve">: 1 </w:t>
      </w:r>
      <w:r>
        <w:rPr>
          <w:sz w:val="20"/>
          <w:szCs w:val="20"/>
          <w:lang w:val="en-US"/>
        </w:rPr>
        <w:t>October</w:t>
      </w:r>
      <w:r w:rsidR="00AC3EE7" w:rsidRPr="00B51F2D">
        <w:rPr>
          <w:sz w:val="20"/>
          <w:szCs w:val="20"/>
          <w:lang w:val="en-US"/>
        </w:rPr>
        <w:t xml:space="preserve"> 2016</w:t>
      </w:r>
    </w:p>
    <w:p w14:paraId="61832CED" w14:textId="1D5657FB" w:rsidR="00AC3EE7" w:rsidRPr="00B51F2D" w:rsidRDefault="00B51F2D" w:rsidP="00AC3EE7">
      <w:pPr>
        <w:pStyle w:val="Akapitzlis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Salary: Regular assistant professor salary (as regulated by internal rules of the University of Gdansk)</w:t>
      </w:r>
      <w:r w:rsidR="000C696B" w:rsidRPr="00B51F2D">
        <w:rPr>
          <w:sz w:val="20"/>
          <w:szCs w:val="20"/>
          <w:lang w:val="en-US"/>
        </w:rPr>
        <w:t>.</w:t>
      </w:r>
    </w:p>
    <w:p w14:paraId="0F6640DB" w14:textId="77777777" w:rsidR="00267FC0" w:rsidRPr="00B51F2D" w:rsidRDefault="00267FC0" w:rsidP="00267FC0">
      <w:pPr>
        <w:rPr>
          <w:sz w:val="20"/>
          <w:szCs w:val="20"/>
          <w:lang w:val="en-US"/>
        </w:rPr>
      </w:pPr>
    </w:p>
    <w:p w14:paraId="60D2C8EE" w14:textId="0AE4E475" w:rsidR="00267FC0" w:rsidRPr="00B51F2D" w:rsidRDefault="00831C7A" w:rsidP="00267FC0">
      <w:pPr>
        <w:rPr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Recruitment procedure</w:t>
      </w:r>
    </w:p>
    <w:p w14:paraId="0BCD6842" w14:textId="77777777" w:rsidR="00267FC0" w:rsidRPr="00B51F2D" w:rsidRDefault="00267FC0" w:rsidP="00267FC0">
      <w:pPr>
        <w:rPr>
          <w:sz w:val="20"/>
          <w:szCs w:val="20"/>
          <w:u w:val="single"/>
          <w:lang w:val="en-US"/>
        </w:rPr>
      </w:pPr>
    </w:p>
    <w:p w14:paraId="2BD54DB6" w14:textId="55DA2536" w:rsidR="00B51F2D" w:rsidRPr="00B51F2D" w:rsidRDefault="00B51F2D" w:rsidP="00B51F2D">
      <w:pPr>
        <w:pStyle w:val="Akapitzlist"/>
        <w:numPr>
          <w:ilvl w:val="0"/>
          <w:numId w:val="3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Stage</w:t>
      </w:r>
      <w:r w:rsidR="00EC22AC" w:rsidRPr="00B51F2D">
        <w:rPr>
          <w:sz w:val="20"/>
          <w:szCs w:val="20"/>
          <w:lang w:val="en-US"/>
        </w:rPr>
        <w:t xml:space="preserve"> I: </w:t>
      </w:r>
      <w:r>
        <w:rPr>
          <w:sz w:val="20"/>
          <w:szCs w:val="20"/>
          <w:lang w:val="en-US"/>
        </w:rPr>
        <w:t xml:space="preserve">Candidates are requested to send the following documents </w:t>
      </w:r>
      <w:r w:rsidRPr="009C2D4C">
        <w:rPr>
          <w:b/>
          <w:sz w:val="20"/>
          <w:szCs w:val="20"/>
          <w:lang w:val="en-US"/>
        </w:rPr>
        <w:t xml:space="preserve">by </w:t>
      </w:r>
      <w:r w:rsidR="009C2D4C" w:rsidRPr="009C2D4C">
        <w:rPr>
          <w:b/>
          <w:sz w:val="20"/>
          <w:szCs w:val="20"/>
          <w:lang w:val="en-US"/>
        </w:rPr>
        <w:t>15/09/2016</w:t>
      </w:r>
      <w:r>
        <w:rPr>
          <w:sz w:val="20"/>
          <w:szCs w:val="20"/>
          <w:lang w:val="en-US"/>
        </w:rPr>
        <w:t xml:space="preserve"> by e-mail (</w:t>
      </w:r>
      <w:r w:rsidRPr="00B51F2D">
        <w:rPr>
          <w:sz w:val="20"/>
          <w:szCs w:val="20"/>
          <w:lang w:val="en-US"/>
        </w:rPr>
        <w:t>pchs@qsar.eu.org</w:t>
      </w:r>
      <w:r>
        <w:rPr>
          <w:sz w:val="20"/>
          <w:szCs w:val="20"/>
          <w:lang w:val="en-US"/>
        </w:rPr>
        <w:t>):</w:t>
      </w:r>
    </w:p>
    <w:p w14:paraId="4239EBDA" w14:textId="1C41B72F" w:rsidR="000F154B" w:rsidRPr="00B51F2D" w:rsidRDefault="00B51F2D" w:rsidP="000F154B">
      <w:pPr>
        <w:pStyle w:val="Akapitzlist"/>
        <w:numPr>
          <w:ilvl w:val="0"/>
          <w:numId w:val="4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 xml:space="preserve">Professional </w:t>
      </w:r>
      <w:r w:rsidR="000F154B" w:rsidRPr="00B51F2D">
        <w:rPr>
          <w:sz w:val="20"/>
          <w:szCs w:val="20"/>
          <w:lang w:val="en-US"/>
        </w:rPr>
        <w:t xml:space="preserve">CV </w:t>
      </w:r>
      <w:r>
        <w:rPr>
          <w:sz w:val="20"/>
          <w:szCs w:val="20"/>
          <w:lang w:val="en-US"/>
        </w:rPr>
        <w:t>that includes</w:t>
      </w:r>
      <w:r w:rsidR="000F154B" w:rsidRPr="00B51F2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list of publications</w:t>
      </w:r>
      <w:r w:rsidR="000F154B" w:rsidRPr="00B51F2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information on the previous projects, positions, research visits etc.,</w:t>
      </w:r>
      <w:r w:rsidR="000F154B" w:rsidRPr="00B51F2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information on conference presentations, information of </w:t>
      </w:r>
      <w:r w:rsidR="00831C7A">
        <w:rPr>
          <w:sz w:val="20"/>
          <w:szCs w:val="20"/>
          <w:lang w:val="en-US"/>
        </w:rPr>
        <w:t>awards</w:t>
      </w:r>
      <w:r w:rsidR="000F154B" w:rsidRPr="00B51F2D">
        <w:rPr>
          <w:sz w:val="20"/>
          <w:szCs w:val="20"/>
          <w:lang w:val="en-US"/>
        </w:rPr>
        <w:t>;</w:t>
      </w:r>
    </w:p>
    <w:p w14:paraId="65D26F53" w14:textId="1EEA68BB" w:rsidR="000F154B" w:rsidRPr="00B51F2D" w:rsidRDefault="00831C7A" w:rsidP="000F154B">
      <w:pPr>
        <w:pStyle w:val="Akapitzlist"/>
        <w:numPr>
          <w:ilvl w:val="0"/>
          <w:numId w:val="4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lastRenderedPageBreak/>
        <w:t>copies of three publications that the Candidate recognizes as the best ones</w:t>
      </w:r>
      <w:r w:rsidR="000F154B" w:rsidRPr="00B51F2D">
        <w:rPr>
          <w:sz w:val="20"/>
          <w:szCs w:val="20"/>
          <w:lang w:val="en-US"/>
        </w:rPr>
        <w:t>;</w:t>
      </w:r>
    </w:p>
    <w:p w14:paraId="4B5B5EAC" w14:textId="244F8727" w:rsidR="00EC22AC" w:rsidRPr="00B51F2D" w:rsidRDefault="00831C7A" w:rsidP="00EC22AC">
      <w:pPr>
        <w:pStyle w:val="Akapitzlist"/>
        <w:numPr>
          <w:ilvl w:val="0"/>
          <w:numId w:val="4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short letter of motivation that includes contact details of three potential referees</w:t>
      </w:r>
      <w:r>
        <w:rPr>
          <w:sz w:val="20"/>
          <w:szCs w:val="20"/>
          <w:lang w:val="en-US"/>
        </w:rPr>
        <w:br/>
      </w:r>
    </w:p>
    <w:p w14:paraId="751F9CE0" w14:textId="234E1E6B" w:rsidR="00831C7A" w:rsidRPr="00831C7A" w:rsidRDefault="00831C7A" w:rsidP="00B3229B">
      <w:pPr>
        <w:pStyle w:val="Akapitzlist"/>
        <w:numPr>
          <w:ilvl w:val="0"/>
          <w:numId w:val="3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Stage II</w:t>
      </w:r>
      <w:r w:rsidR="00B3229B" w:rsidRPr="00B51F2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Candidates selected to the second stage will be invited for an interview (possibly as teleconference)</w:t>
      </w:r>
      <w:r w:rsidR="009C2D4C">
        <w:rPr>
          <w:sz w:val="20"/>
          <w:szCs w:val="20"/>
          <w:lang w:val="en-US"/>
        </w:rPr>
        <w:t xml:space="preserve"> between </w:t>
      </w:r>
      <w:r w:rsidR="009C2D4C" w:rsidRPr="009C2D4C">
        <w:rPr>
          <w:b/>
          <w:sz w:val="20"/>
          <w:szCs w:val="20"/>
          <w:lang w:val="en-US"/>
        </w:rPr>
        <w:t>15-20/09/2016</w:t>
      </w:r>
      <w:r>
        <w:rPr>
          <w:sz w:val="20"/>
          <w:szCs w:val="20"/>
          <w:lang w:val="en-US"/>
        </w:rPr>
        <w:t xml:space="preserve">. During the interview, the Candidate can be asked to solve/discuss some case studies that verify her/his skills. Candidates not selected to the second stage will be informed about that by e-mail. The information will be provided not later than by </w:t>
      </w:r>
      <w:r w:rsidR="009C2D4C" w:rsidRPr="009C2D4C">
        <w:rPr>
          <w:b/>
          <w:sz w:val="20"/>
          <w:szCs w:val="20"/>
          <w:lang w:val="en-US"/>
        </w:rPr>
        <w:t>16/09/</w:t>
      </w:r>
      <w:r w:rsidRPr="009C2D4C">
        <w:rPr>
          <w:b/>
          <w:sz w:val="20"/>
          <w:szCs w:val="20"/>
          <w:lang w:val="en-US"/>
        </w:rPr>
        <w:t>2016</w:t>
      </w:r>
      <w:r>
        <w:rPr>
          <w:sz w:val="20"/>
          <w:szCs w:val="20"/>
          <w:lang w:val="en-US"/>
        </w:rPr>
        <w:t>.</w:t>
      </w:r>
    </w:p>
    <w:p w14:paraId="3A005DE9" w14:textId="77777777" w:rsidR="00831C7A" w:rsidRPr="00831C7A" w:rsidRDefault="00831C7A" w:rsidP="00831C7A">
      <w:pPr>
        <w:rPr>
          <w:sz w:val="20"/>
          <w:szCs w:val="20"/>
          <w:u w:val="single"/>
          <w:lang w:val="en-US"/>
        </w:rPr>
      </w:pPr>
    </w:p>
    <w:p w14:paraId="479F52CA" w14:textId="2D3CE4CD" w:rsidR="00EC22AC" w:rsidRPr="00B51F2D" w:rsidRDefault="00831C7A" w:rsidP="00B3229B">
      <w:pPr>
        <w:pStyle w:val="Akapitzlist"/>
        <w:numPr>
          <w:ilvl w:val="0"/>
          <w:numId w:val="3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 xml:space="preserve">Final decision will be taken </w:t>
      </w:r>
      <w:r w:rsidR="009C2D4C">
        <w:rPr>
          <w:sz w:val="20"/>
          <w:szCs w:val="20"/>
          <w:lang w:val="en-US"/>
        </w:rPr>
        <w:t>shortly</w:t>
      </w:r>
      <w:r>
        <w:rPr>
          <w:sz w:val="20"/>
          <w:szCs w:val="20"/>
          <w:lang w:val="en-US"/>
        </w:rPr>
        <w:t xml:space="preserve"> after the interview. All candidates will be informed </w:t>
      </w:r>
      <w:r w:rsidR="009C2D4C">
        <w:rPr>
          <w:sz w:val="20"/>
          <w:szCs w:val="20"/>
          <w:lang w:val="en-US"/>
        </w:rPr>
        <w:t xml:space="preserve">by e-mail </w:t>
      </w:r>
      <w:r>
        <w:rPr>
          <w:sz w:val="20"/>
          <w:szCs w:val="20"/>
          <w:lang w:val="en-US"/>
        </w:rPr>
        <w:t>about the results of the interview.</w:t>
      </w:r>
      <w:r w:rsidR="00B3229B" w:rsidRPr="00B51F2D">
        <w:rPr>
          <w:sz w:val="20"/>
          <w:szCs w:val="20"/>
          <w:lang w:val="en-US"/>
        </w:rPr>
        <w:br/>
      </w:r>
    </w:p>
    <w:p w14:paraId="12E0225D" w14:textId="6A0941D5" w:rsidR="00B3229B" w:rsidRPr="00B51F2D" w:rsidRDefault="00B3229B" w:rsidP="00831C7A">
      <w:pPr>
        <w:pStyle w:val="Akapitzlist"/>
        <w:ind w:left="360"/>
        <w:rPr>
          <w:sz w:val="20"/>
          <w:szCs w:val="20"/>
          <w:u w:val="single"/>
          <w:lang w:val="en-US"/>
        </w:rPr>
      </w:pPr>
    </w:p>
    <w:sectPr w:rsidR="00B3229B" w:rsidRPr="00B51F2D" w:rsidSect="009C0D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5E53" w14:textId="77777777" w:rsidR="00CC3BE5" w:rsidRDefault="00CC3BE5" w:rsidP="000F154B">
      <w:r>
        <w:separator/>
      </w:r>
    </w:p>
  </w:endnote>
  <w:endnote w:type="continuationSeparator" w:id="0">
    <w:p w14:paraId="56D59E96" w14:textId="77777777" w:rsidR="00CC3BE5" w:rsidRDefault="00CC3BE5" w:rsidP="000F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E3A67" w14:textId="77777777" w:rsidR="00CC3BE5" w:rsidRDefault="00CC3BE5" w:rsidP="000F154B">
      <w:r>
        <w:separator/>
      </w:r>
    </w:p>
  </w:footnote>
  <w:footnote w:type="continuationSeparator" w:id="0">
    <w:p w14:paraId="0923BB3A" w14:textId="77777777" w:rsidR="00CC3BE5" w:rsidRDefault="00CC3BE5" w:rsidP="000F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EAD"/>
    <w:multiLevelType w:val="hybridMultilevel"/>
    <w:tmpl w:val="1640D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95173"/>
    <w:multiLevelType w:val="hybridMultilevel"/>
    <w:tmpl w:val="C492B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83312"/>
    <w:multiLevelType w:val="hybridMultilevel"/>
    <w:tmpl w:val="AF4E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E5D34"/>
    <w:multiLevelType w:val="hybridMultilevel"/>
    <w:tmpl w:val="D04EE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80"/>
    <w:rsid w:val="000276B9"/>
    <w:rsid w:val="000C35F7"/>
    <w:rsid w:val="000C696B"/>
    <w:rsid w:val="000F154B"/>
    <w:rsid w:val="001129B0"/>
    <w:rsid w:val="00260F73"/>
    <w:rsid w:val="00267FC0"/>
    <w:rsid w:val="003133E3"/>
    <w:rsid w:val="003D5343"/>
    <w:rsid w:val="00560A91"/>
    <w:rsid w:val="005733E0"/>
    <w:rsid w:val="00626A2C"/>
    <w:rsid w:val="006555A4"/>
    <w:rsid w:val="00660457"/>
    <w:rsid w:val="00713EA6"/>
    <w:rsid w:val="00831C7A"/>
    <w:rsid w:val="00881759"/>
    <w:rsid w:val="00902493"/>
    <w:rsid w:val="00941580"/>
    <w:rsid w:val="009C0D3B"/>
    <w:rsid w:val="009C2D4C"/>
    <w:rsid w:val="009F5812"/>
    <w:rsid w:val="00A526BB"/>
    <w:rsid w:val="00A72E85"/>
    <w:rsid w:val="00AC3EE7"/>
    <w:rsid w:val="00B051DE"/>
    <w:rsid w:val="00B3229B"/>
    <w:rsid w:val="00B40496"/>
    <w:rsid w:val="00B51F2D"/>
    <w:rsid w:val="00BB242A"/>
    <w:rsid w:val="00BB3C0A"/>
    <w:rsid w:val="00C571FF"/>
    <w:rsid w:val="00CC3BE5"/>
    <w:rsid w:val="00D329CB"/>
    <w:rsid w:val="00E76F4E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A63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EE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15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154B"/>
  </w:style>
  <w:style w:type="character" w:styleId="Odwoanieprzypisukocowego">
    <w:name w:val="endnote reference"/>
    <w:basedOn w:val="Domylnaczcionkaakapitu"/>
    <w:uiPriority w:val="99"/>
    <w:unhideWhenUsed/>
    <w:rsid w:val="000F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chemia.ug.edu.pl/faculty/about_us" TargetMode="External"/><Relationship Id="rId8" Type="http://schemas.openxmlformats.org/officeDocument/2006/relationships/hyperlink" Target="http://qsar.eu.org" TargetMode="External"/><Relationship Id="rId9" Type="http://schemas.openxmlformats.org/officeDocument/2006/relationships/hyperlink" Target="http://www.nanoreg2.eu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Puzyn</dc:creator>
  <cp:keywords/>
  <dc:description/>
  <cp:lastModifiedBy>Tomasz Puzyn</cp:lastModifiedBy>
  <cp:revision>7</cp:revision>
  <dcterms:created xsi:type="dcterms:W3CDTF">2016-06-23T07:58:00Z</dcterms:created>
  <dcterms:modified xsi:type="dcterms:W3CDTF">2016-09-02T06:58:00Z</dcterms:modified>
</cp:coreProperties>
</file>